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851F" w14:textId="77777777" w:rsidR="00C4318E" w:rsidRDefault="00C4318E">
      <w:pPr>
        <w:rPr>
          <w:rFonts w:ascii="Verdana" w:hAnsi="Verdana"/>
        </w:rPr>
      </w:pPr>
      <w:r>
        <w:rPr>
          <w:rFonts w:ascii="Verdana" w:hAnsi="Verdana"/>
        </w:rPr>
        <w:t xml:space="preserve">To: </w:t>
      </w:r>
      <w:r>
        <w:rPr>
          <w:rFonts w:ascii="Verdana" w:hAnsi="Verdana"/>
        </w:rPr>
        <w:tab/>
      </w:r>
      <w:r>
        <w:rPr>
          <w:rFonts w:ascii="Verdana" w:hAnsi="Verdana"/>
        </w:rPr>
        <w:tab/>
        <w:t>The GDTA Committee members</w:t>
      </w:r>
    </w:p>
    <w:p w14:paraId="78EEAC82" w14:textId="77777777" w:rsidR="00C4318E" w:rsidRDefault="00C4318E">
      <w:pPr>
        <w:rPr>
          <w:rFonts w:ascii="Verdana" w:hAnsi="Verdana"/>
        </w:rPr>
      </w:pPr>
      <w:r>
        <w:rPr>
          <w:rFonts w:ascii="Verdana" w:hAnsi="Verdana"/>
        </w:rPr>
        <w:t>From:</w:t>
      </w:r>
      <w:r>
        <w:rPr>
          <w:rFonts w:ascii="Verdana" w:hAnsi="Verdana"/>
        </w:rPr>
        <w:tab/>
        <w:t xml:space="preserve">Tony Haworth, </w:t>
      </w:r>
      <w:r w:rsidR="004272A2">
        <w:rPr>
          <w:rFonts w:ascii="Verdana" w:hAnsi="Verdana"/>
        </w:rPr>
        <w:t xml:space="preserve">GDTA </w:t>
      </w:r>
      <w:r>
        <w:rPr>
          <w:rFonts w:ascii="Verdana" w:hAnsi="Verdana"/>
        </w:rPr>
        <w:t>Trea</w:t>
      </w:r>
      <w:r w:rsidR="004272A2">
        <w:rPr>
          <w:rFonts w:ascii="Verdana" w:hAnsi="Verdana"/>
        </w:rPr>
        <w:t>surer</w:t>
      </w:r>
    </w:p>
    <w:p w14:paraId="775CE48B" w14:textId="77777777" w:rsidR="004272A2" w:rsidRDefault="004272A2">
      <w:pPr>
        <w:rPr>
          <w:rFonts w:ascii="Verdana" w:hAnsi="Verdana"/>
        </w:rPr>
      </w:pPr>
    </w:p>
    <w:p w14:paraId="41B8A94C" w14:textId="77777777" w:rsidR="004272A2" w:rsidRDefault="004272A2">
      <w:pPr>
        <w:rPr>
          <w:rFonts w:ascii="Verdana" w:hAnsi="Verdana"/>
        </w:rPr>
      </w:pPr>
    </w:p>
    <w:p w14:paraId="6443ABBD" w14:textId="7D9378D5" w:rsidR="00DF4C06" w:rsidRPr="000D7D31" w:rsidRDefault="00C4318E">
      <w:pPr>
        <w:rPr>
          <w:rFonts w:ascii="Verdana" w:hAnsi="Verdana"/>
          <w:b/>
          <w:sz w:val="28"/>
          <w:szCs w:val="28"/>
          <w:u w:val="single"/>
        </w:rPr>
      </w:pPr>
      <w:r w:rsidRPr="000D7D31">
        <w:rPr>
          <w:rFonts w:ascii="Verdana" w:hAnsi="Verdana"/>
          <w:b/>
          <w:sz w:val="28"/>
          <w:szCs w:val="28"/>
          <w:u w:val="single"/>
        </w:rPr>
        <w:t xml:space="preserve">GDTA Finance Report – </w:t>
      </w:r>
      <w:r w:rsidR="000E7AF4" w:rsidRPr="000D7D31">
        <w:rPr>
          <w:rFonts w:ascii="Verdana" w:hAnsi="Verdana"/>
          <w:b/>
          <w:sz w:val="28"/>
          <w:szCs w:val="28"/>
          <w:u w:val="single"/>
        </w:rPr>
        <w:t>3</w:t>
      </w:r>
      <w:r w:rsidR="000E7AF4" w:rsidRPr="000D7D31">
        <w:rPr>
          <w:rFonts w:ascii="Verdana" w:hAnsi="Verdana"/>
          <w:b/>
          <w:sz w:val="28"/>
          <w:szCs w:val="28"/>
          <w:u w:val="single"/>
          <w:vertAlign w:val="superscript"/>
        </w:rPr>
        <w:t>rd</w:t>
      </w:r>
      <w:r w:rsidR="000E7AF4" w:rsidRPr="000D7D31">
        <w:rPr>
          <w:rFonts w:ascii="Verdana" w:hAnsi="Verdana"/>
          <w:b/>
          <w:sz w:val="28"/>
          <w:szCs w:val="28"/>
          <w:u w:val="single"/>
        </w:rPr>
        <w:t xml:space="preserve"> March </w:t>
      </w:r>
      <w:r w:rsidRPr="000D7D31">
        <w:rPr>
          <w:rFonts w:ascii="Verdana" w:hAnsi="Verdana"/>
          <w:b/>
          <w:sz w:val="28"/>
          <w:szCs w:val="28"/>
          <w:u w:val="single"/>
        </w:rPr>
        <w:t>2014</w:t>
      </w:r>
    </w:p>
    <w:p w14:paraId="042918FE" w14:textId="77777777" w:rsidR="008007D8" w:rsidRDefault="008007D8">
      <w:pPr>
        <w:rPr>
          <w:rFonts w:ascii="Verdana" w:hAnsi="Verdana"/>
        </w:rPr>
      </w:pPr>
    </w:p>
    <w:p w14:paraId="37B08557" w14:textId="40CCD64C" w:rsidR="008007D8" w:rsidRPr="000D7D31" w:rsidRDefault="008007D8">
      <w:pPr>
        <w:rPr>
          <w:rFonts w:ascii="Verdana" w:hAnsi="Verdana"/>
          <w:b/>
          <w:u w:val="single"/>
        </w:rPr>
      </w:pPr>
      <w:r w:rsidRPr="000D7D31">
        <w:rPr>
          <w:rFonts w:ascii="Verdana" w:hAnsi="Verdana"/>
          <w:b/>
          <w:u w:val="single"/>
        </w:rPr>
        <w:t xml:space="preserve">Current </w:t>
      </w:r>
      <w:r w:rsidR="001D2CF1" w:rsidRPr="000D7D31">
        <w:rPr>
          <w:rFonts w:ascii="Verdana" w:hAnsi="Verdana"/>
          <w:b/>
          <w:u w:val="single"/>
        </w:rPr>
        <w:t>Financial</w:t>
      </w:r>
      <w:r w:rsidRPr="000D7D31">
        <w:rPr>
          <w:rFonts w:ascii="Verdana" w:hAnsi="Verdana"/>
          <w:b/>
          <w:u w:val="single"/>
        </w:rPr>
        <w:t xml:space="preserve"> Update</w:t>
      </w:r>
    </w:p>
    <w:p w14:paraId="09F835DF" w14:textId="77777777" w:rsidR="004272A2" w:rsidRDefault="004272A2">
      <w:pPr>
        <w:rPr>
          <w:rFonts w:ascii="Verdana" w:hAnsi="Verdana"/>
        </w:rPr>
      </w:pPr>
    </w:p>
    <w:p w14:paraId="1D8F84C8" w14:textId="0B87B37D" w:rsidR="000E7AF4" w:rsidRDefault="000E7AF4" w:rsidP="000E7AF4">
      <w:pPr>
        <w:rPr>
          <w:rFonts w:ascii="Verdana" w:hAnsi="Verdana"/>
        </w:rPr>
      </w:pPr>
      <w:r>
        <w:rPr>
          <w:rFonts w:ascii="Verdana" w:hAnsi="Verdana"/>
        </w:rPr>
        <w:t>I am pleased to report that we have our first P&amp;L re</w:t>
      </w:r>
      <w:r w:rsidR="00C91B26">
        <w:rPr>
          <w:rFonts w:ascii="Verdana" w:hAnsi="Verdana"/>
        </w:rPr>
        <w:t xml:space="preserve">port as at January 2014, as well as receiving a refund on our GST for the quarter ending 31 December 2013. </w:t>
      </w:r>
      <w:r w:rsidR="00C91B26" w:rsidRPr="000D7D31">
        <w:rPr>
          <w:rFonts w:ascii="Verdana" w:hAnsi="Verdana"/>
          <w:highlight w:val="yellow"/>
        </w:rPr>
        <w:t>A summary of our P&amp;L is as        follows:</w:t>
      </w:r>
    </w:p>
    <w:p w14:paraId="28E3CEF6" w14:textId="77777777" w:rsidR="00C91B26" w:rsidRDefault="00C91B26" w:rsidP="000E7AF4">
      <w:pPr>
        <w:rPr>
          <w:rFonts w:ascii="Verdana" w:hAnsi="Verdana"/>
        </w:rPr>
      </w:pPr>
    </w:p>
    <w:p w14:paraId="548112A1" w14:textId="6F300169" w:rsidR="00C91B26" w:rsidRPr="000E7AF4" w:rsidRDefault="00C91B26" w:rsidP="000E7AF4">
      <w:pPr>
        <w:rPr>
          <w:rFonts w:ascii="Verdana" w:hAnsi="Verdana"/>
        </w:rPr>
      </w:pPr>
      <w:r>
        <w:rPr>
          <w:rFonts w:ascii="Verdana" w:hAnsi="Verdana"/>
        </w:rPr>
        <w:t>As at 28/2/2014 we have a balance of $106491.70 - $84626.79 in our sinking fund, $21364.91 in our operating account and $500 in our new tournament account.</w:t>
      </w:r>
    </w:p>
    <w:p w14:paraId="00C40605" w14:textId="77777777" w:rsidR="00C91B26" w:rsidRPr="00C91B26" w:rsidRDefault="00C91B26" w:rsidP="00C91B26">
      <w:pPr>
        <w:rPr>
          <w:rFonts w:ascii="Verdana" w:hAnsi="Verdana"/>
        </w:rPr>
      </w:pPr>
    </w:p>
    <w:p w14:paraId="77B77433" w14:textId="5AE99563" w:rsidR="008007D8" w:rsidRPr="001D2CF1" w:rsidRDefault="008007D8" w:rsidP="00C91B26">
      <w:pPr>
        <w:rPr>
          <w:rFonts w:ascii="Verdana" w:hAnsi="Verdana"/>
          <w:b/>
        </w:rPr>
      </w:pPr>
      <w:r w:rsidRPr="001D2CF1">
        <w:rPr>
          <w:rFonts w:ascii="Verdana" w:hAnsi="Verdana"/>
          <w:b/>
        </w:rPr>
        <w:t xml:space="preserve">Payments made </w:t>
      </w:r>
      <w:r w:rsidR="00954BA4" w:rsidRPr="001D2CF1">
        <w:rPr>
          <w:rFonts w:ascii="Verdana" w:hAnsi="Verdana"/>
          <w:b/>
        </w:rPr>
        <w:t>in February</w:t>
      </w:r>
      <w:r w:rsidRPr="001D2CF1">
        <w:rPr>
          <w:rFonts w:ascii="Verdana" w:hAnsi="Verdana"/>
          <w:b/>
        </w:rPr>
        <w:t xml:space="preserve"> include:</w:t>
      </w:r>
    </w:p>
    <w:p w14:paraId="6A4CAAA5" w14:textId="77777777" w:rsidR="009B0A0B" w:rsidRDefault="009B0A0B" w:rsidP="00C91B26">
      <w:pPr>
        <w:rPr>
          <w:rFonts w:ascii="Verdana" w:hAnsi="Verdana"/>
        </w:rPr>
      </w:pPr>
    </w:p>
    <w:tbl>
      <w:tblPr>
        <w:tblStyle w:val="TableGrid"/>
        <w:tblW w:w="0" w:type="auto"/>
        <w:tblLook w:val="04A0" w:firstRow="1" w:lastRow="0" w:firstColumn="1" w:lastColumn="0" w:noHBand="0" w:noVBand="1"/>
      </w:tblPr>
      <w:tblGrid>
        <w:gridCol w:w="6345"/>
        <w:gridCol w:w="2171"/>
      </w:tblGrid>
      <w:tr w:rsidR="009B0A0B" w14:paraId="6CEB5BF1" w14:textId="77777777" w:rsidTr="009B0A0B">
        <w:tc>
          <w:tcPr>
            <w:tcW w:w="6345" w:type="dxa"/>
          </w:tcPr>
          <w:p w14:paraId="34E37C1B" w14:textId="5DB1047F" w:rsidR="009B0A0B" w:rsidRPr="009B0A0B" w:rsidRDefault="009B0A0B" w:rsidP="009B0A0B">
            <w:pPr>
              <w:pStyle w:val="ListParagraph"/>
              <w:numPr>
                <w:ilvl w:val="0"/>
                <w:numId w:val="6"/>
              </w:numPr>
              <w:rPr>
                <w:rFonts w:ascii="Verdana" w:hAnsi="Verdana"/>
              </w:rPr>
            </w:pPr>
            <w:r w:rsidRPr="009B0A0B">
              <w:rPr>
                <w:rFonts w:ascii="Verdana" w:hAnsi="Verdana"/>
              </w:rPr>
              <w:t>GIO Insurance</w:t>
            </w:r>
          </w:p>
        </w:tc>
        <w:tc>
          <w:tcPr>
            <w:tcW w:w="2171" w:type="dxa"/>
          </w:tcPr>
          <w:p w14:paraId="161CE0DE" w14:textId="6B065C0B" w:rsidR="009B0A0B" w:rsidRDefault="009B0A0B" w:rsidP="00C91B26">
            <w:pPr>
              <w:rPr>
                <w:rFonts w:ascii="Verdana" w:hAnsi="Verdana"/>
              </w:rPr>
            </w:pPr>
            <w:r>
              <w:rPr>
                <w:rFonts w:ascii="Verdana" w:hAnsi="Verdana"/>
              </w:rPr>
              <w:t>$345.33</w:t>
            </w:r>
          </w:p>
        </w:tc>
      </w:tr>
      <w:tr w:rsidR="009B0A0B" w14:paraId="1E35CE70" w14:textId="77777777" w:rsidTr="009B0A0B">
        <w:tc>
          <w:tcPr>
            <w:tcW w:w="6345" w:type="dxa"/>
          </w:tcPr>
          <w:p w14:paraId="1C332EB4" w14:textId="77152161" w:rsidR="009B0A0B" w:rsidRPr="009B0A0B" w:rsidRDefault="009B0A0B" w:rsidP="009B0A0B">
            <w:pPr>
              <w:pStyle w:val="ListParagraph"/>
              <w:numPr>
                <w:ilvl w:val="0"/>
                <w:numId w:val="6"/>
              </w:numPr>
              <w:rPr>
                <w:rFonts w:ascii="Verdana" w:hAnsi="Verdana"/>
              </w:rPr>
            </w:pPr>
            <w:r w:rsidRPr="009B0A0B">
              <w:rPr>
                <w:rFonts w:ascii="Verdana" w:hAnsi="Verdana"/>
              </w:rPr>
              <w:t>Court hire - GTC</w:t>
            </w:r>
          </w:p>
        </w:tc>
        <w:tc>
          <w:tcPr>
            <w:tcW w:w="2171" w:type="dxa"/>
          </w:tcPr>
          <w:p w14:paraId="7293767F" w14:textId="00AE79DB" w:rsidR="009B0A0B" w:rsidRDefault="009B0A0B" w:rsidP="00C91B26">
            <w:pPr>
              <w:rPr>
                <w:rFonts w:ascii="Verdana" w:hAnsi="Verdana"/>
              </w:rPr>
            </w:pPr>
            <w:r>
              <w:rPr>
                <w:rFonts w:ascii="Verdana" w:hAnsi="Verdana"/>
              </w:rPr>
              <w:t>$2200.00</w:t>
            </w:r>
          </w:p>
        </w:tc>
      </w:tr>
      <w:tr w:rsidR="009B0A0B" w14:paraId="5ACBC29E" w14:textId="77777777" w:rsidTr="009B0A0B">
        <w:tc>
          <w:tcPr>
            <w:tcW w:w="6345" w:type="dxa"/>
          </w:tcPr>
          <w:p w14:paraId="113D7289" w14:textId="24B95549" w:rsidR="009B0A0B" w:rsidRPr="009B0A0B" w:rsidRDefault="009B0A0B" w:rsidP="009B0A0B">
            <w:pPr>
              <w:pStyle w:val="ListParagraph"/>
              <w:numPr>
                <w:ilvl w:val="0"/>
                <w:numId w:val="6"/>
              </w:numPr>
              <w:rPr>
                <w:rFonts w:ascii="Verdana" w:hAnsi="Verdana"/>
              </w:rPr>
            </w:pPr>
            <w:r w:rsidRPr="009B0A0B">
              <w:rPr>
                <w:rFonts w:ascii="Verdana" w:hAnsi="Verdana"/>
              </w:rPr>
              <w:t>Referee’s/Supervisors GJO</w:t>
            </w:r>
          </w:p>
        </w:tc>
        <w:tc>
          <w:tcPr>
            <w:tcW w:w="2171" w:type="dxa"/>
          </w:tcPr>
          <w:p w14:paraId="7D5FAF0F" w14:textId="2EEA6B82" w:rsidR="009B0A0B" w:rsidRDefault="009B0A0B" w:rsidP="00C91B26">
            <w:pPr>
              <w:rPr>
                <w:rFonts w:ascii="Verdana" w:hAnsi="Verdana"/>
              </w:rPr>
            </w:pPr>
            <w:r>
              <w:rPr>
                <w:rFonts w:ascii="Verdana" w:hAnsi="Verdana"/>
              </w:rPr>
              <w:t>$2153.00</w:t>
            </w:r>
          </w:p>
        </w:tc>
      </w:tr>
      <w:tr w:rsidR="009B0A0B" w14:paraId="78DB2F5B" w14:textId="77777777" w:rsidTr="009B0A0B">
        <w:tc>
          <w:tcPr>
            <w:tcW w:w="6345" w:type="dxa"/>
          </w:tcPr>
          <w:p w14:paraId="55F5FE17" w14:textId="1C94C379" w:rsidR="009B0A0B" w:rsidRPr="009B0A0B" w:rsidRDefault="009B0A0B" w:rsidP="009B0A0B">
            <w:pPr>
              <w:pStyle w:val="ListParagraph"/>
              <w:numPr>
                <w:ilvl w:val="0"/>
                <w:numId w:val="6"/>
              </w:numPr>
              <w:rPr>
                <w:rFonts w:ascii="Verdana" w:hAnsi="Verdana"/>
              </w:rPr>
            </w:pPr>
            <w:r>
              <w:rPr>
                <w:rFonts w:ascii="Verdana" w:hAnsi="Verdana"/>
              </w:rPr>
              <w:t>Transfer to Tournament account</w:t>
            </w:r>
          </w:p>
        </w:tc>
        <w:tc>
          <w:tcPr>
            <w:tcW w:w="2171" w:type="dxa"/>
          </w:tcPr>
          <w:p w14:paraId="59219843" w14:textId="121BB07B" w:rsidR="009B0A0B" w:rsidRDefault="009B0A0B" w:rsidP="00C91B26">
            <w:pPr>
              <w:rPr>
                <w:rFonts w:ascii="Verdana" w:hAnsi="Verdana"/>
              </w:rPr>
            </w:pPr>
            <w:r>
              <w:rPr>
                <w:rFonts w:ascii="Verdana" w:hAnsi="Verdana"/>
              </w:rPr>
              <w:t>$500.00</w:t>
            </w:r>
          </w:p>
        </w:tc>
      </w:tr>
      <w:tr w:rsidR="009B0A0B" w14:paraId="0EB8AC27" w14:textId="77777777" w:rsidTr="009B0A0B">
        <w:tc>
          <w:tcPr>
            <w:tcW w:w="6345" w:type="dxa"/>
          </w:tcPr>
          <w:p w14:paraId="0BB4C147" w14:textId="321F5777" w:rsidR="009B0A0B" w:rsidRPr="009B0A0B" w:rsidRDefault="009B0A0B" w:rsidP="009B0A0B">
            <w:pPr>
              <w:pStyle w:val="ListParagraph"/>
              <w:numPr>
                <w:ilvl w:val="0"/>
                <w:numId w:val="6"/>
              </w:numPr>
              <w:rPr>
                <w:rFonts w:ascii="Verdana" w:hAnsi="Verdana"/>
              </w:rPr>
            </w:pPr>
            <w:r>
              <w:rPr>
                <w:rFonts w:ascii="Verdana" w:hAnsi="Verdana"/>
              </w:rPr>
              <w:t>Engin Direct</w:t>
            </w:r>
          </w:p>
        </w:tc>
        <w:tc>
          <w:tcPr>
            <w:tcW w:w="2171" w:type="dxa"/>
          </w:tcPr>
          <w:p w14:paraId="30678727" w14:textId="776B5049" w:rsidR="009B0A0B" w:rsidRDefault="009B0A0B" w:rsidP="00C91B26">
            <w:pPr>
              <w:rPr>
                <w:rFonts w:ascii="Verdana" w:hAnsi="Verdana"/>
              </w:rPr>
            </w:pPr>
            <w:r>
              <w:rPr>
                <w:rFonts w:ascii="Verdana" w:hAnsi="Verdana"/>
              </w:rPr>
              <w:t>$39.90</w:t>
            </w:r>
          </w:p>
        </w:tc>
      </w:tr>
      <w:tr w:rsidR="009B0A0B" w14:paraId="0B0B2B00" w14:textId="77777777" w:rsidTr="009B0A0B">
        <w:tc>
          <w:tcPr>
            <w:tcW w:w="6345" w:type="dxa"/>
          </w:tcPr>
          <w:p w14:paraId="73BA9EB9" w14:textId="1B5409C2" w:rsidR="009B0A0B" w:rsidRDefault="009B0A0B" w:rsidP="009B0A0B">
            <w:pPr>
              <w:pStyle w:val="ListParagraph"/>
              <w:numPr>
                <w:ilvl w:val="0"/>
                <w:numId w:val="6"/>
              </w:numPr>
              <w:rPr>
                <w:rFonts w:ascii="Verdana" w:hAnsi="Verdana"/>
              </w:rPr>
            </w:pPr>
            <w:r>
              <w:rPr>
                <w:rFonts w:ascii="Verdana" w:hAnsi="Verdana"/>
              </w:rPr>
              <w:t>Trophies</w:t>
            </w:r>
            <w:r w:rsidR="003865A5">
              <w:rPr>
                <w:rFonts w:ascii="Verdana" w:hAnsi="Verdana"/>
              </w:rPr>
              <w:t xml:space="preserve"> (GJO)</w:t>
            </w:r>
          </w:p>
        </w:tc>
        <w:tc>
          <w:tcPr>
            <w:tcW w:w="2171" w:type="dxa"/>
          </w:tcPr>
          <w:p w14:paraId="596822C8" w14:textId="51B4F9C6" w:rsidR="009B0A0B" w:rsidRDefault="009B0A0B" w:rsidP="00C91B26">
            <w:pPr>
              <w:rPr>
                <w:rFonts w:ascii="Verdana" w:hAnsi="Verdana"/>
              </w:rPr>
            </w:pPr>
            <w:r>
              <w:rPr>
                <w:rFonts w:ascii="Verdana" w:hAnsi="Verdana"/>
              </w:rPr>
              <w:t>$420.00</w:t>
            </w:r>
          </w:p>
        </w:tc>
      </w:tr>
      <w:tr w:rsidR="009B0A0B" w14:paraId="6DDC825C" w14:textId="77777777" w:rsidTr="009B0A0B">
        <w:tc>
          <w:tcPr>
            <w:tcW w:w="6345" w:type="dxa"/>
          </w:tcPr>
          <w:p w14:paraId="20B63074" w14:textId="3F81F457" w:rsidR="009B0A0B" w:rsidRDefault="009B0A0B" w:rsidP="009B0A0B">
            <w:pPr>
              <w:pStyle w:val="ListParagraph"/>
              <w:numPr>
                <w:ilvl w:val="0"/>
                <w:numId w:val="6"/>
              </w:numPr>
              <w:rPr>
                <w:rFonts w:ascii="Verdana" w:hAnsi="Verdana"/>
              </w:rPr>
            </w:pPr>
            <w:r>
              <w:rPr>
                <w:rFonts w:ascii="Verdana" w:hAnsi="Verdana"/>
              </w:rPr>
              <w:t>Lawn Mowing</w:t>
            </w:r>
          </w:p>
        </w:tc>
        <w:tc>
          <w:tcPr>
            <w:tcW w:w="2171" w:type="dxa"/>
          </w:tcPr>
          <w:p w14:paraId="086D8D90" w14:textId="77877D40" w:rsidR="009B0A0B" w:rsidRDefault="009B0A0B" w:rsidP="00C91B26">
            <w:pPr>
              <w:rPr>
                <w:rFonts w:ascii="Verdana" w:hAnsi="Verdana"/>
              </w:rPr>
            </w:pPr>
            <w:r>
              <w:rPr>
                <w:rFonts w:ascii="Verdana" w:hAnsi="Verdana"/>
              </w:rPr>
              <w:t>$330.00</w:t>
            </w:r>
          </w:p>
        </w:tc>
      </w:tr>
      <w:tr w:rsidR="009B0A0B" w14:paraId="1F12E66B" w14:textId="77777777" w:rsidTr="009B0A0B">
        <w:tc>
          <w:tcPr>
            <w:tcW w:w="6345" w:type="dxa"/>
          </w:tcPr>
          <w:p w14:paraId="481514FE" w14:textId="0EDA025E" w:rsidR="009B0A0B" w:rsidRDefault="001D2CF1" w:rsidP="009B0A0B">
            <w:pPr>
              <w:pStyle w:val="ListParagraph"/>
              <w:numPr>
                <w:ilvl w:val="0"/>
                <w:numId w:val="6"/>
              </w:numPr>
              <w:rPr>
                <w:rFonts w:ascii="Verdana" w:hAnsi="Verdana"/>
              </w:rPr>
            </w:pPr>
            <w:r>
              <w:rPr>
                <w:rFonts w:ascii="Verdana" w:hAnsi="Verdana"/>
              </w:rPr>
              <w:t>AJ Haworth – token re-imbursement</w:t>
            </w:r>
          </w:p>
        </w:tc>
        <w:tc>
          <w:tcPr>
            <w:tcW w:w="2171" w:type="dxa"/>
          </w:tcPr>
          <w:p w14:paraId="6BD32A83" w14:textId="5C99868C" w:rsidR="009B0A0B" w:rsidRDefault="001D2CF1" w:rsidP="00C91B26">
            <w:pPr>
              <w:rPr>
                <w:rFonts w:ascii="Verdana" w:hAnsi="Verdana"/>
              </w:rPr>
            </w:pPr>
            <w:r>
              <w:rPr>
                <w:rFonts w:ascii="Verdana" w:hAnsi="Verdana"/>
              </w:rPr>
              <w:t>$20.00</w:t>
            </w:r>
          </w:p>
        </w:tc>
      </w:tr>
      <w:tr w:rsidR="001D2CF1" w14:paraId="72788CFB" w14:textId="77777777" w:rsidTr="009B0A0B">
        <w:tc>
          <w:tcPr>
            <w:tcW w:w="6345" w:type="dxa"/>
          </w:tcPr>
          <w:p w14:paraId="118205A3" w14:textId="2AF9C254" w:rsidR="001D2CF1" w:rsidRDefault="00BC2BDD" w:rsidP="009B0A0B">
            <w:pPr>
              <w:pStyle w:val="ListParagraph"/>
              <w:numPr>
                <w:ilvl w:val="0"/>
                <w:numId w:val="6"/>
              </w:numPr>
              <w:rPr>
                <w:rFonts w:ascii="Verdana" w:hAnsi="Verdana"/>
              </w:rPr>
            </w:pPr>
            <w:r>
              <w:rPr>
                <w:rFonts w:ascii="Verdana" w:hAnsi="Verdana"/>
              </w:rPr>
              <w:t>Food/Associated running costs/tennis balls GJO</w:t>
            </w:r>
          </w:p>
        </w:tc>
        <w:tc>
          <w:tcPr>
            <w:tcW w:w="2171" w:type="dxa"/>
          </w:tcPr>
          <w:p w14:paraId="441EF3B7" w14:textId="50C39FAF" w:rsidR="001D2CF1" w:rsidRDefault="001D2CF1" w:rsidP="00C91B26">
            <w:pPr>
              <w:rPr>
                <w:rFonts w:ascii="Verdana" w:hAnsi="Verdana"/>
              </w:rPr>
            </w:pPr>
            <w:r>
              <w:rPr>
                <w:rFonts w:ascii="Verdana" w:hAnsi="Verdana"/>
              </w:rPr>
              <w:t>$1668.25</w:t>
            </w:r>
          </w:p>
        </w:tc>
      </w:tr>
      <w:tr w:rsidR="00BC2BDD" w14:paraId="2CC576B5" w14:textId="77777777" w:rsidTr="009B0A0B">
        <w:tc>
          <w:tcPr>
            <w:tcW w:w="6345" w:type="dxa"/>
          </w:tcPr>
          <w:p w14:paraId="7E0325B0" w14:textId="2E67D1FA" w:rsidR="00BC2BDD" w:rsidRDefault="00BC2BDD" w:rsidP="009B0A0B">
            <w:pPr>
              <w:pStyle w:val="ListParagraph"/>
              <w:numPr>
                <w:ilvl w:val="0"/>
                <w:numId w:val="6"/>
              </w:numPr>
              <w:rPr>
                <w:rFonts w:ascii="Verdana" w:hAnsi="Verdana"/>
              </w:rPr>
            </w:pPr>
            <w:r>
              <w:rPr>
                <w:rFonts w:ascii="Verdana" w:hAnsi="Verdana"/>
              </w:rPr>
              <w:t>Collection Fee</w:t>
            </w:r>
          </w:p>
        </w:tc>
        <w:tc>
          <w:tcPr>
            <w:tcW w:w="2171" w:type="dxa"/>
          </w:tcPr>
          <w:p w14:paraId="59C9C633" w14:textId="5FEF1D97" w:rsidR="00BC2BDD" w:rsidRDefault="00BC2BDD" w:rsidP="00C91B26">
            <w:pPr>
              <w:rPr>
                <w:rFonts w:ascii="Verdana" w:hAnsi="Verdana"/>
              </w:rPr>
            </w:pPr>
            <w:r>
              <w:rPr>
                <w:rFonts w:ascii="Verdana" w:hAnsi="Verdana"/>
              </w:rPr>
              <w:t>$1448.90</w:t>
            </w:r>
          </w:p>
        </w:tc>
      </w:tr>
      <w:tr w:rsidR="001D2CF1" w14:paraId="2DCCF192" w14:textId="77777777" w:rsidTr="009B0A0B">
        <w:tc>
          <w:tcPr>
            <w:tcW w:w="6345" w:type="dxa"/>
          </w:tcPr>
          <w:p w14:paraId="0A5E15E3" w14:textId="2A5C37D8" w:rsidR="001D2CF1" w:rsidRDefault="001D2CF1" w:rsidP="009B0A0B">
            <w:pPr>
              <w:pStyle w:val="ListParagraph"/>
              <w:numPr>
                <w:ilvl w:val="0"/>
                <w:numId w:val="6"/>
              </w:numPr>
              <w:rPr>
                <w:rFonts w:ascii="Verdana" w:hAnsi="Verdana"/>
              </w:rPr>
            </w:pPr>
            <w:r>
              <w:rPr>
                <w:rFonts w:ascii="Verdana" w:hAnsi="Verdana"/>
              </w:rPr>
              <w:t>BBQ Costs</w:t>
            </w:r>
          </w:p>
        </w:tc>
        <w:tc>
          <w:tcPr>
            <w:tcW w:w="2171" w:type="dxa"/>
          </w:tcPr>
          <w:p w14:paraId="567A52F2" w14:textId="2ED73016" w:rsidR="001D2CF1" w:rsidRDefault="001D2CF1" w:rsidP="00C91B26">
            <w:pPr>
              <w:rPr>
                <w:rFonts w:ascii="Verdana" w:hAnsi="Verdana"/>
              </w:rPr>
            </w:pPr>
            <w:r>
              <w:rPr>
                <w:rFonts w:ascii="Verdana" w:hAnsi="Verdana"/>
              </w:rPr>
              <w:t>$255.25</w:t>
            </w:r>
          </w:p>
        </w:tc>
      </w:tr>
      <w:tr w:rsidR="001D2CF1" w14:paraId="09C93C2B" w14:textId="77777777" w:rsidTr="009B0A0B">
        <w:tc>
          <w:tcPr>
            <w:tcW w:w="6345" w:type="dxa"/>
          </w:tcPr>
          <w:p w14:paraId="50C27B6C" w14:textId="43F7FA8F" w:rsidR="001D2CF1" w:rsidRDefault="001D2CF1" w:rsidP="009B0A0B">
            <w:pPr>
              <w:pStyle w:val="ListParagraph"/>
              <w:numPr>
                <w:ilvl w:val="0"/>
                <w:numId w:val="6"/>
              </w:numPr>
              <w:rPr>
                <w:rFonts w:ascii="Verdana" w:hAnsi="Verdana"/>
              </w:rPr>
            </w:pPr>
            <w:r>
              <w:rPr>
                <w:rFonts w:ascii="Verdana" w:hAnsi="Verdana"/>
              </w:rPr>
              <w:t xml:space="preserve">Trophies </w:t>
            </w:r>
            <w:r w:rsidR="003865A5">
              <w:rPr>
                <w:rFonts w:ascii="Verdana" w:hAnsi="Verdana"/>
              </w:rPr>
              <w:t xml:space="preserve"> (Hot shots)</w:t>
            </w:r>
          </w:p>
        </w:tc>
        <w:tc>
          <w:tcPr>
            <w:tcW w:w="2171" w:type="dxa"/>
          </w:tcPr>
          <w:p w14:paraId="5005CE54" w14:textId="4D4AB831" w:rsidR="001D2CF1" w:rsidRDefault="001D2CF1" w:rsidP="00C91B26">
            <w:pPr>
              <w:rPr>
                <w:rFonts w:ascii="Verdana" w:hAnsi="Verdana"/>
              </w:rPr>
            </w:pPr>
            <w:r>
              <w:rPr>
                <w:rFonts w:ascii="Verdana" w:hAnsi="Verdana"/>
              </w:rPr>
              <w:t>$202.00</w:t>
            </w:r>
          </w:p>
        </w:tc>
      </w:tr>
      <w:tr w:rsidR="001D2CF1" w14:paraId="24552A55" w14:textId="77777777" w:rsidTr="009B0A0B">
        <w:tc>
          <w:tcPr>
            <w:tcW w:w="6345" w:type="dxa"/>
          </w:tcPr>
          <w:p w14:paraId="32E35FFA" w14:textId="7245B726" w:rsidR="001D2CF1" w:rsidRDefault="001D2CF1" w:rsidP="009B0A0B">
            <w:pPr>
              <w:pStyle w:val="ListParagraph"/>
              <w:numPr>
                <w:ilvl w:val="0"/>
                <w:numId w:val="6"/>
              </w:numPr>
              <w:rPr>
                <w:rFonts w:ascii="Verdana" w:hAnsi="Verdana"/>
              </w:rPr>
            </w:pPr>
            <w:r>
              <w:rPr>
                <w:rFonts w:ascii="Verdana" w:hAnsi="Verdana"/>
              </w:rPr>
              <w:t>Rent to GCC</w:t>
            </w:r>
          </w:p>
        </w:tc>
        <w:tc>
          <w:tcPr>
            <w:tcW w:w="2171" w:type="dxa"/>
          </w:tcPr>
          <w:p w14:paraId="57E5C220" w14:textId="77901673" w:rsidR="001D2CF1" w:rsidRDefault="001D2CF1" w:rsidP="00C91B26">
            <w:pPr>
              <w:rPr>
                <w:rFonts w:ascii="Verdana" w:hAnsi="Verdana"/>
              </w:rPr>
            </w:pPr>
            <w:r>
              <w:rPr>
                <w:rFonts w:ascii="Verdana" w:hAnsi="Verdana"/>
              </w:rPr>
              <w:t>$5559.63</w:t>
            </w:r>
          </w:p>
        </w:tc>
      </w:tr>
      <w:tr w:rsidR="001D2CF1" w14:paraId="66D6D5FF" w14:textId="77777777" w:rsidTr="009B0A0B">
        <w:tc>
          <w:tcPr>
            <w:tcW w:w="6345" w:type="dxa"/>
          </w:tcPr>
          <w:p w14:paraId="7BA31355" w14:textId="5ADC8C13" w:rsidR="001D2CF1" w:rsidRDefault="001D2CF1" w:rsidP="009B0A0B">
            <w:pPr>
              <w:pStyle w:val="ListParagraph"/>
              <w:numPr>
                <w:ilvl w:val="0"/>
                <w:numId w:val="6"/>
              </w:numPr>
              <w:rPr>
                <w:rFonts w:ascii="Verdana" w:hAnsi="Verdana"/>
              </w:rPr>
            </w:pPr>
            <w:r>
              <w:rPr>
                <w:rFonts w:ascii="Verdana" w:hAnsi="Verdana"/>
              </w:rPr>
              <w:t>Optus</w:t>
            </w:r>
          </w:p>
        </w:tc>
        <w:tc>
          <w:tcPr>
            <w:tcW w:w="2171" w:type="dxa"/>
          </w:tcPr>
          <w:p w14:paraId="3A298B6E" w14:textId="59F69915" w:rsidR="001D2CF1" w:rsidRDefault="001D2CF1" w:rsidP="00C91B26">
            <w:pPr>
              <w:rPr>
                <w:rFonts w:ascii="Verdana" w:hAnsi="Verdana"/>
              </w:rPr>
            </w:pPr>
            <w:r>
              <w:rPr>
                <w:rFonts w:ascii="Verdana" w:hAnsi="Verdana"/>
              </w:rPr>
              <w:t>$112.97</w:t>
            </w:r>
          </w:p>
        </w:tc>
      </w:tr>
      <w:tr w:rsidR="001D2CF1" w14:paraId="01B5B3FF" w14:textId="77777777" w:rsidTr="009B0A0B">
        <w:tc>
          <w:tcPr>
            <w:tcW w:w="6345" w:type="dxa"/>
          </w:tcPr>
          <w:p w14:paraId="0D3FB14C" w14:textId="32C6EE1E" w:rsidR="001D2CF1" w:rsidRDefault="001D2CF1" w:rsidP="009B0A0B">
            <w:pPr>
              <w:pStyle w:val="ListParagraph"/>
              <w:numPr>
                <w:ilvl w:val="0"/>
                <w:numId w:val="6"/>
              </w:numPr>
              <w:rPr>
                <w:rFonts w:ascii="Verdana" w:hAnsi="Verdana"/>
              </w:rPr>
            </w:pPr>
            <w:r>
              <w:rPr>
                <w:rFonts w:ascii="Verdana" w:hAnsi="Verdana"/>
              </w:rPr>
              <w:t>Transfer to sinking Fund</w:t>
            </w:r>
          </w:p>
        </w:tc>
        <w:tc>
          <w:tcPr>
            <w:tcW w:w="2171" w:type="dxa"/>
          </w:tcPr>
          <w:p w14:paraId="5F8162BC" w14:textId="14A9BC63" w:rsidR="001D2CF1" w:rsidRDefault="001D2CF1" w:rsidP="00C91B26">
            <w:pPr>
              <w:rPr>
                <w:rFonts w:ascii="Verdana" w:hAnsi="Verdana"/>
              </w:rPr>
            </w:pPr>
            <w:r>
              <w:rPr>
                <w:rFonts w:ascii="Verdana" w:hAnsi="Verdana"/>
              </w:rPr>
              <w:t>$20,000</w:t>
            </w:r>
          </w:p>
        </w:tc>
      </w:tr>
    </w:tbl>
    <w:p w14:paraId="1A3B63DF" w14:textId="77777777" w:rsidR="009B0A0B" w:rsidRDefault="009B0A0B" w:rsidP="00C91B26">
      <w:pPr>
        <w:rPr>
          <w:rFonts w:ascii="Verdana" w:hAnsi="Verdana"/>
        </w:rPr>
      </w:pPr>
    </w:p>
    <w:p w14:paraId="73731303" w14:textId="56DB895A" w:rsidR="009B0A0B" w:rsidRDefault="001D2CF1" w:rsidP="00C91B26">
      <w:pPr>
        <w:rPr>
          <w:rFonts w:ascii="Verdana" w:hAnsi="Verdana"/>
        </w:rPr>
      </w:pPr>
      <w:r w:rsidRPr="001D2CF1">
        <w:rPr>
          <w:rFonts w:ascii="Verdana" w:hAnsi="Verdana"/>
          <w:b/>
        </w:rPr>
        <w:t>Deposits in February include</w:t>
      </w:r>
      <w:r>
        <w:rPr>
          <w:rFonts w:ascii="Verdana" w:hAnsi="Verdana"/>
        </w:rPr>
        <w:t>:</w:t>
      </w:r>
    </w:p>
    <w:p w14:paraId="4EACD105" w14:textId="77777777" w:rsidR="001D2CF1" w:rsidRDefault="001D2CF1" w:rsidP="00C91B26">
      <w:pPr>
        <w:rPr>
          <w:rFonts w:ascii="Verdana" w:hAnsi="Verdana"/>
        </w:rPr>
      </w:pPr>
    </w:p>
    <w:tbl>
      <w:tblPr>
        <w:tblStyle w:val="TableGrid"/>
        <w:tblW w:w="0" w:type="auto"/>
        <w:tblLook w:val="04A0" w:firstRow="1" w:lastRow="0" w:firstColumn="1" w:lastColumn="0" w:noHBand="0" w:noVBand="1"/>
      </w:tblPr>
      <w:tblGrid>
        <w:gridCol w:w="6345"/>
        <w:gridCol w:w="2171"/>
      </w:tblGrid>
      <w:tr w:rsidR="001D2CF1" w14:paraId="28DEB437" w14:textId="77777777" w:rsidTr="001D2CF1">
        <w:tc>
          <w:tcPr>
            <w:tcW w:w="6345" w:type="dxa"/>
          </w:tcPr>
          <w:p w14:paraId="34591F24" w14:textId="58FB9CC6" w:rsidR="001D2CF1" w:rsidRPr="001D2CF1" w:rsidRDefault="001D2CF1" w:rsidP="001D2CF1">
            <w:pPr>
              <w:pStyle w:val="ListParagraph"/>
              <w:numPr>
                <w:ilvl w:val="0"/>
                <w:numId w:val="7"/>
              </w:numPr>
              <w:rPr>
                <w:rFonts w:ascii="Verdana" w:hAnsi="Verdana"/>
              </w:rPr>
            </w:pPr>
            <w:r>
              <w:rPr>
                <w:rFonts w:ascii="Verdana" w:hAnsi="Verdana"/>
              </w:rPr>
              <w:t xml:space="preserve">NSW TA </w:t>
            </w:r>
          </w:p>
        </w:tc>
        <w:tc>
          <w:tcPr>
            <w:tcW w:w="2171" w:type="dxa"/>
          </w:tcPr>
          <w:p w14:paraId="5A0C672B" w14:textId="47BA373D" w:rsidR="001D2CF1" w:rsidRDefault="001D2CF1" w:rsidP="00C91B26">
            <w:pPr>
              <w:rPr>
                <w:rFonts w:ascii="Verdana" w:hAnsi="Verdana"/>
              </w:rPr>
            </w:pPr>
            <w:r>
              <w:rPr>
                <w:rFonts w:ascii="Verdana" w:hAnsi="Verdana"/>
              </w:rPr>
              <w:t>$5500</w:t>
            </w:r>
          </w:p>
        </w:tc>
      </w:tr>
      <w:tr w:rsidR="001D2CF1" w14:paraId="296395D3" w14:textId="77777777" w:rsidTr="001D2CF1">
        <w:tc>
          <w:tcPr>
            <w:tcW w:w="6345" w:type="dxa"/>
          </w:tcPr>
          <w:p w14:paraId="02B4626C" w14:textId="3F22904D" w:rsidR="001D2CF1" w:rsidRPr="001D2CF1" w:rsidRDefault="001D2CF1" w:rsidP="001D2CF1">
            <w:pPr>
              <w:pStyle w:val="ListParagraph"/>
              <w:numPr>
                <w:ilvl w:val="0"/>
                <w:numId w:val="7"/>
              </w:numPr>
              <w:rPr>
                <w:rFonts w:ascii="Verdana" w:hAnsi="Verdana"/>
              </w:rPr>
            </w:pPr>
            <w:r>
              <w:rPr>
                <w:rFonts w:ascii="Verdana" w:hAnsi="Verdana"/>
              </w:rPr>
              <w:t>Monthly License Fee &amp; Kalamazoo</w:t>
            </w:r>
          </w:p>
        </w:tc>
        <w:tc>
          <w:tcPr>
            <w:tcW w:w="2171" w:type="dxa"/>
          </w:tcPr>
          <w:p w14:paraId="5D3084CD" w14:textId="2C06BC5B" w:rsidR="001D2CF1" w:rsidRDefault="001D2CF1" w:rsidP="00C91B26">
            <w:pPr>
              <w:rPr>
                <w:rFonts w:ascii="Verdana" w:hAnsi="Verdana"/>
              </w:rPr>
            </w:pPr>
            <w:r>
              <w:rPr>
                <w:rFonts w:ascii="Verdana" w:hAnsi="Verdana"/>
              </w:rPr>
              <w:t>$7997.67</w:t>
            </w:r>
          </w:p>
        </w:tc>
      </w:tr>
      <w:tr w:rsidR="001D2CF1" w14:paraId="432331A5" w14:textId="77777777" w:rsidTr="001D2CF1">
        <w:tc>
          <w:tcPr>
            <w:tcW w:w="6345" w:type="dxa"/>
          </w:tcPr>
          <w:p w14:paraId="6C7798F7" w14:textId="31D8F695" w:rsidR="001D2CF1" w:rsidRPr="001D2CF1" w:rsidRDefault="001D2CF1" w:rsidP="001D2CF1">
            <w:pPr>
              <w:pStyle w:val="ListParagraph"/>
              <w:numPr>
                <w:ilvl w:val="0"/>
                <w:numId w:val="7"/>
              </w:numPr>
              <w:rPr>
                <w:rFonts w:ascii="Verdana" w:hAnsi="Verdana"/>
              </w:rPr>
            </w:pPr>
            <w:r>
              <w:rPr>
                <w:rFonts w:ascii="Verdana" w:hAnsi="Verdana"/>
              </w:rPr>
              <w:t>CPI Increase – Feb by GTC</w:t>
            </w:r>
          </w:p>
        </w:tc>
        <w:tc>
          <w:tcPr>
            <w:tcW w:w="2171" w:type="dxa"/>
          </w:tcPr>
          <w:p w14:paraId="4334295A" w14:textId="6B78896B" w:rsidR="001D2CF1" w:rsidRDefault="001D2CF1" w:rsidP="00C91B26">
            <w:pPr>
              <w:rPr>
                <w:rFonts w:ascii="Verdana" w:hAnsi="Verdana"/>
              </w:rPr>
            </w:pPr>
            <w:r>
              <w:rPr>
                <w:rFonts w:ascii="Verdana" w:hAnsi="Verdana"/>
              </w:rPr>
              <w:t>$175.95</w:t>
            </w:r>
          </w:p>
        </w:tc>
      </w:tr>
      <w:tr w:rsidR="001D2CF1" w14:paraId="5FBAC6C7" w14:textId="77777777" w:rsidTr="001D2CF1">
        <w:tc>
          <w:tcPr>
            <w:tcW w:w="6345" w:type="dxa"/>
          </w:tcPr>
          <w:p w14:paraId="2A27108D" w14:textId="4A29B0A6" w:rsidR="001D2CF1" w:rsidRDefault="001D2CF1" w:rsidP="003865A5">
            <w:pPr>
              <w:pStyle w:val="ListParagraph"/>
              <w:numPr>
                <w:ilvl w:val="0"/>
                <w:numId w:val="7"/>
              </w:numPr>
              <w:rPr>
                <w:rFonts w:ascii="Verdana" w:hAnsi="Verdana"/>
              </w:rPr>
            </w:pPr>
            <w:r>
              <w:rPr>
                <w:rFonts w:ascii="Verdana" w:hAnsi="Verdana"/>
              </w:rPr>
              <w:t>Cheque Deposit (</w:t>
            </w:r>
            <w:r w:rsidR="003865A5">
              <w:rPr>
                <w:rFonts w:ascii="Verdana" w:hAnsi="Verdana"/>
              </w:rPr>
              <w:t>Jenny</w:t>
            </w:r>
            <w:r>
              <w:rPr>
                <w:rFonts w:ascii="Verdana" w:hAnsi="Verdana"/>
              </w:rPr>
              <w:t>)</w:t>
            </w:r>
          </w:p>
        </w:tc>
        <w:tc>
          <w:tcPr>
            <w:tcW w:w="2171" w:type="dxa"/>
          </w:tcPr>
          <w:p w14:paraId="37B2C19F" w14:textId="19F0395E" w:rsidR="001D2CF1" w:rsidRDefault="001D2CF1" w:rsidP="00C91B26">
            <w:pPr>
              <w:rPr>
                <w:rFonts w:ascii="Verdana" w:hAnsi="Verdana"/>
              </w:rPr>
            </w:pPr>
            <w:r>
              <w:rPr>
                <w:rFonts w:ascii="Verdana" w:hAnsi="Verdana"/>
              </w:rPr>
              <w:t>$66.00</w:t>
            </w:r>
          </w:p>
        </w:tc>
      </w:tr>
      <w:tr w:rsidR="001D2CF1" w14:paraId="5BA8DEF6" w14:textId="77777777" w:rsidTr="001D2CF1">
        <w:tc>
          <w:tcPr>
            <w:tcW w:w="6345" w:type="dxa"/>
          </w:tcPr>
          <w:p w14:paraId="0C5F495A" w14:textId="62C069DF" w:rsidR="001D2CF1" w:rsidRDefault="001D2CF1" w:rsidP="003865A5">
            <w:pPr>
              <w:pStyle w:val="ListParagraph"/>
              <w:numPr>
                <w:ilvl w:val="0"/>
                <w:numId w:val="7"/>
              </w:numPr>
              <w:rPr>
                <w:rFonts w:ascii="Verdana" w:hAnsi="Verdana"/>
              </w:rPr>
            </w:pPr>
            <w:r>
              <w:rPr>
                <w:rFonts w:ascii="Verdana" w:hAnsi="Verdana"/>
              </w:rPr>
              <w:t>Cheque Deposit (</w:t>
            </w:r>
            <w:r w:rsidR="003865A5">
              <w:rPr>
                <w:rFonts w:ascii="Verdana" w:hAnsi="Verdana"/>
              </w:rPr>
              <w:t>Lynne</w:t>
            </w:r>
            <w:r>
              <w:rPr>
                <w:rFonts w:ascii="Verdana" w:hAnsi="Verdana"/>
              </w:rPr>
              <w:t>)</w:t>
            </w:r>
          </w:p>
        </w:tc>
        <w:tc>
          <w:tcPr>
            <w:tcW w:w="2171" w:type="dxa"/>
          </w:tcPr>
          <w:p w14:paraId="3E8DA968" w14:textId="21F2F5A1" w:rsidR="001D2CF1" w:rsidRDefault="001D2CF1" w:rsidP="00C91B26">
            <w:pPr>
              <w:rPr>
                <w:rFonts w:ascii="Verdana" w:hAnsi="Verdana"/>
              </w:rPr>
            </w:pPr>
            <w:r>
              <w:rPr>
                <w:rFonts w:ascii="Verdana" w:hAnsi="Verdana"/>
              </w:rPr>
              <w:t>$20.00</w:t>
            </w:r>
          </w:p>
        </w:tc>
      </w:tr>
    </w:tbl>
    <w:p w14:paraId="20AD525A" w14:textId="77777777" w:rsidR="009B0A0B" w:rsidRDefault="009B0A0B" w:rsidP="00C91B26">
      <w:pPr>
        <w:rPr>
          <w:rFonts w:ascii="Verdana" w:hAnsi="Verdana"/>
        </w:rPr>
      </w:pPr>
    </w:p>
    <w:p w14:paraId="15BB99E3" w14:textId="77777777" w:rsidR="00D72C59" w:rsidRDefault="00D72C59" w:rsidP="00C91B26">
      <w:pPr>
        <w:rPr>
          <w:rFonts w:ascii="Verdana" w:hAnsi="Verdana"/>
          <w:b/>
        </w:rPr>
      </w:pPr>
    </w:p>
    <w:p w14:paraId="590B4512" w14:textId="77777777" w:rsidR="00D72C59" w:rsidRDefault="00D72C59" w:rsidP="00C91B26">
      <w:pPr>
        <w:rPr>
          <w:rFonts w:ascii="Verdana" w:hAnsi="Verdana"/>
          <w:b/>
        </w:rPr>
      </w:pPr>
    </w:p>
    <w:p w14:paraId="796F7493" w14:textId="77777777" w:rsidR="00D72C59" w:rsidRDefault="00D72C59" w:rsidP="00C91B26">
      <w:pPr>
        <w:rPr>
          <w:rFonts w:ascii="Verdana" w:hAnsi="Verdana"/>
          <w:b/>
        </w:rPr>
      </w:pPr>
    </w:p>
    <w:p w14:paraId="343D0EB4" w14:textId="0D460B30" w:rsidR="009B0A0B" w:rsidRPr="001D2CF1" w:rsidRDefault="001D2CF1" w:rsidP="00C91B26">
      <w:pPr>
        <w:rPr>
          <w:rFonts w:ascii="Verdana" w:hAnsi="Verdana"/>
          <w:b/>
        </w:rPr>
      </w:pPr>
      <w:r w:rsidRPr="001D2CF1">
        <w:rPr>
          <w:rFonts w:ascii="Verdana" w:hAnsi="Verdana"/>
          <w:b/>
        </w:rPr>
        <w:lastRenderedPageBreak/>
        <w:t>Matters from last report outstanding</w:t>
      </w:r>
    </w:p>
    <w:p w14:paraId="5327ECC1" w14:textId="77777777" w:rsidR="001D2CF1" w:rsidRDefault="001D2CF1" w:rsidP="00C91B26">
      <w:pPr>
        <w:rPr>
          <w:rFonts w:ascii="Verdana" w:hAnsi="Verdana"/>
        </w:rPr>
      </w:pPr>
      <w:bookmarkStart w:id="0" w:name="_GoBack"/>
      <w:bookmarkEnd w:id="0"/>
    </w:p>
    <w:p w14:paraId="43D81F04" w14:textId="64329ACF" w:rsidR="00D72C59" w:rsidRPr="00D72C59" w:rsidRDefault="00D72C59" w:rsidP="00D72C59">
      <w:pPr>
        <w:pStyle w:val="ListParagraph"/>
        <w:numPr>
          <w:ilvl w:val="0"/>
          <w:numId w:val="8"/>
        </w:numPr>
        <w:rPr>
          <w:rFonts w:ascii="Verdana" w:hAnsi="Verdana"/>
        </w:rPr>
      </w:pPr>
      <w:r w:rsidRPr="00D72C59">
        <w:rPr>
          <w:rFonts w:ascii="Verdana" w:hAnsi="Verdana"/>
        </w:rPr>
        <w:t>The CPI increase has been agreed to and has taken effect as at 1/2/2014. The increase is $175.95 per month or $6842.62 per month.</w:t>
      </w:r>
    </w:p>
    <w:p w14:paraId="3DB28A6B" w14:textId="057510B4" w:rsidR="001D2CF1" w:rsidRPr="00D72C59" w:rsidRDefault="001D2CF1" w:rsidP="00D72C59">
      <w:pPr>
        <w:pStyle w:val="ListParagraph"/>
        <w:numPr>
          <w:ilvl w:val="0"/>
          <w:numId w:val="8"/>
        </w:numPr>
        <w:rPr>
          <w:rFonts w:ascii="Verdana" w:hAnsi="Verdana"/>
        </w:rPr>
      </w:pPr>
      <w:r w:rsidRPr="00D72C59">
        <w:rPr>
          <w:rFonts w:ascii="Verdana" w:hAnsi="Verdana"/>
        </w:rPr>
        <w:t>Merchant Card Facility has been placed on hold at the request of Rob Eldridge, until we can implement our membership strategy.</w:t>
      </w:r>
    </w:p>
    <w:p w14:paraId="02223204" w14:textId="77777777" w:rsidR="00110BFD" w:rsidRDefault="00110BFD" w:rsidP="00110BFD">
      <w:pPr>
        <w:rPr>
          <w:rFonts w:ascii="Verdana" w:hAnsi="Verdana"/>
        </w:rPr>
      </w:pPr>
    </w:p>
    <w:p w14:paraId="28D999C8" w14:textId="500BDC32" w:rsidR="007D3AFC" w:rsidRPr="000D7D31" w:rsidRDefault="001D2CF1" w:rsidP="007D3AFC">
      <w:pPr>
        <w:rPr>
          <w:rFonts w:ascii="Verdana" w:hAnsi="Verdana"/>
          <w:b/>
          <w:u w:val="single"/>
        </w:rPr>
      </w:pPr>
      <w:r w:rsidRPr="000D7D31">
        <w:rPr>
          <w:rFonts w:ascii="Verdana" w:hAnsi="Verdana"/>
          <w:b/>
          <w:u w:val="single"/>
        </w:rPr>
        <w:t>Update</w:t>
      </w:r>
    </w:p>
    <w:p w14:paraId="56D8A3AC" w14:textId="77777777" w:rsidR="001D2CF1" w:rsidRDefault="001D2CF1" w:rsidP="007D3AFC">
      <w:pPr>
        <w:rPr>
          <w:rFonts w:ascii="Verdana" w:hAnsi="Verdana"/>
        </w:rPr>
      </w:pPr>
    </w:p>
    <w:p w14:paraId="657C0A8C" w14:textId="17D6304E" w:rsidR="007D3AFC" w:rsidRPr="00D72C59" w:rsidRDefault="00D72C59" w:rsidP="007D3AFC">
      <w:pPr>
        <w:rPr>
          <w:rFonts w:ascii="Verdana" w:hAnsi="Verdana"/>
          <w:b/>
        </w:rPr>
      </w:pPr>
      <w:r>
        <w:rPr>
          <w:rFonts w:ascii="Verdana" w:hAnsi="Verdana"/>
          <w:b/>
        </w:rPr>
        <w:t xml:space="preserve">(a) </w:t>
      </w:r>
      <w:r w:rsidR="007D3AFC" w:rsidRPr="00D72C59">
        <w:rPr>
          <w:rFonts w:ascii="Verdana" w:hAnsi="Verdana"/>
          <w:b/>
        </w:rPr>
        <w:t>GDTA Junior Tournament/BBQ, Raffle &amp; Hotshots</w:t>
      </w:r>
    </w:p>
    <w:p w14:paraId="7882C027" w14:textId="77777777" w:rsidR="00A41C90" w:rsidRDefault="00A41C90" w:rsidP="007D3AFC">
      <w:pPr>
        <w:rPr>
          <w:rFonts w:ascii="Verdana" w:hAnsi="Verdana"/>
          <w:b/>
        </w:rPr>
      </w:pPr>
    </w:p>
    <w:p w14:paraId="720B3FE1" w14:textId="5DB16BD8" w:rsidR="001D2CF1" w:rsidRDefault="001D2CF1" w:rsidP="007D3AFC">
      <w:pPr>
        <w:pStyle w:val="ListParagraph"/>
        <w:numPr>
          <w:ilvl w:val="0"/>
          <w:numId w:val="5"/>
        </w:numPr>
        <w:rPr>
          <w:rFonts w:ascii="Verdana" w:hAnsi="Verdana"/>
        </w:rPr>
      </w:pPr>
      <w:r>
        <w:rPr>
          <w:rFonts w:ascii="Verdana" w:hAnsi="Verdana"/>
        </w:rPr>
        <w:t>Given that all monies have been collected and paid I can now advise the committee that the GJO tournament made a profit of $</w:t>
      </w:r>
      <w:r w:rsidR="00BC2BDD">
        <w:rPr>
          <w:rFonts w:ascii="Verdana" w:hAnsi="Verdana"/>
        </w:rPr>
        <w:t>9858.89</w:t>
      </w:r>
      <w:r>
        <w:rPr>
          <w:rFonts w:ascii="Verdana" w:hAnsi="Verdana"/>
        </w:rPr>
        <w:t xml:space="preserve"> </w:t>
      </w:r>
      <w:r w:rsidR="00BC2BDD">
        <w:rPr>
          <w:rFonts w:ascii="Verdana" w:hAnsi="Verdana"/>
        </w:rPr>
        <w:t>on total revenues of $17329.04.</w:t>
      </w:r>
    </w:p>
    <w:p w14:paraId="144CB466" w14:textId="700883CE" w:rsidR="00BC2BDD" w:rsidRDefault="00BC2BDD" w:rsidP="007D3AFC">
      <w:pPr>
        <w:pStyle w:val="ListParagraph"/>
        <w:numPr>
          <w:ilvl w:val="0"/>
          <w:numId w:val="5"/>
        </w:numPr>
        <w:rPr>
          <w:rFonts w:ascii="Verdana" w:hAnsi="Verdana"/>
        </w:rPr>
      </w:pPr>
      <w:r>
        <w:rPr>
          <w:rFonts w:ascii="Verdana" w:hAnsi="Verdana"/>
        </w:rPr>
        <w:t xml:space="preserve">This is </w:t>
      </w:r>
      <w:r w:rsidR="000D7D31">
        <w:rPr>
          <w:rFonts w:ascii="Verdana" w:hAnsi="Verdana"/>
        </w:rPr>
        <w:t>an</w:t>
      </w:r>
      <w:r>
        <w:rPr>
          <w:rFonts w:ascii="Verdana" w:hAnsi="Verdana"/>
        </w:rPr>
        <w:t xml:space="preserve"> increase of $2649.83, or 27</w:t>
      </w:r>
      <w:r w:rsidR="000D7D31">
        <w:rPr>
          <w:rFonts w:ascii="Verdana" w:hAnsi="Verdana"/>
        </w:rPr>
        <w:t>%, which</w:t>
      </w:r>
      <w:r>
        <w:rPr>
          <w:rFonts w:ascii="Verdana" w:hAnsi="Verdana"/>
        </w:rPr>
        <w:t xml:space="preserve"> is an excellent result and does not include the $5500 from Tennis NSW.</w:t>
      </w:r>
    </w:p>
    <w:p w14:paraId="7E951D38" w14:textId="09AD4910" w:rsidR="00110BFD" w:rsidRDefault="00BC2BDD" w:rsidP="00110BFD">
      <w:pPr>
        <w:pStyle w:val="ListParagraph"/>
        <w:numPr>
          <w:ilvl w:val="0"/>
          <w:numId w:val="5"/>
        </w:numPr>
        <w:rPr>
          <w:rFonts w:ascii="Verdana" w:hAnsi="Verdana"/>
        </w:rPr>
      </w:pPr>
      <w:r>
        <w:rPr>
          <w:rFonts w:ascii="Verdana" w:hAnsi="Verdana"/>
        </w:rPr>
        <w:t>The BBQ/Raffle bought in gross receipts $510.70 (banked $470.70 after costs) and costs were $295.25, ensuring a small profit of $215.45. This has not been included in the overall GJO tournament.</w:t>
      </w:r>
    </w:p>
    <w:p w14:paraId="6E4E3209" w14:textId="77777777" w:rsidR="00A41C90" w:rsidRPr="00A41C90" w:rsidRDefault="00A41C90" w:rsidP="00A41C90">
      <w:pPr>
        <w:rPr>
          <w:rFonts w:ascii="Verdana" w:hAnsi="Verdana"/>
        </w:rPr>
      </w:pPr>
    </w:p>
    <w:p w14:paraId="5F683724" w14:textId="0F07CBCC" w:rsidR="00110BFD" w:rsidRPr="00A41C90" w:rsidRDefault="00D72C59" w:rsidP="00110BFD">
      <w:pPr>
        <w:rPr>
          <w:rFonts w:ascii="Verdana" w:hAnsi="Verdana"/>
          <w:b/>
        </w:rPr>
      </w:pPr>
      <w:r>
        <w:rPr>
          <w:rFonts w:ascii="Verdana" w:hAnsi="Verdana"/>
          <w:b/>
        </w:rPr>
        <w:t xml:space="preserve">(b) GDTA </w:t>
      </w:r>
      <w:r w:rsidR="00A41C90" w:rsidRPr="00A41C90">
        <w:rPr>
          <w:rFonts w:ascii="Verdana" w:hAnsi="Verdana"/>
          <w:b/>
        </w:rPr>
        <w:t>Grants &amp; Rebates</w:t>
      </w:r>
    </w:p>
    <w:p w14:paraId="2D621163" w14:textId="77777777" w:rsidR="00A41C90" w:rsidRDefault="00A41C90" w:rsidP="00110BFD">
      <w:pPr>
        <w:rPr>
          <w:rFonts w:ascii="Verdana" w:hAnsi="Verdana"/>
        </w:rPr>
      </w:pPr>
    </w:p>
    <w:p w14:paraId="25B9FE3C" w14:textId="752E610A" w:rsidR="00D72C59" w:rsidRPr="00D72C59" w:rsidRDefault="00D72C59" w:rsidP="00D72C59">
      <w:pPr>
        <w:pStyle w:val="ListParagraph"/>
        <w:numPr>
          <w:ilvl w:val="0"/>
          <w:numId w:val="9"/>
        </w:numPr>
        <w:rPr>
          <w:rFonts w:ascii="Verdana" w:hAnsi="Verdana"/>
        </w:rPr>
      </w:pPr>
      <w:r w:rsidRPr="00D72C59">
        <w:rPr>
          <w:rFonts w:ascii="Verdana" w:hAnsi="Verdana"/>
        </w:rPr>
        <w:t xml:space="preserve">I have submitted documentation to </w:t>
      </w:r>
      <w:r w:rsidR="000D7D31" w:rsidRPr="00D72C59">
        <w:rPr>
          <w:rFonts w:ascii="Verdana" w:hAnsi="Verdana"/>
        </w:rPr>
        <w:t>pay</w:t>
      </w:r>
      <w:r w:rsidRPr="00D72C59">
        <w:rPr>
          <w:rFonts w:ascii="Verdana" w:hAnsi="Verdana"/>
        </w:rPr>
        <w:t xml:space="preserve"> our 2012 GCC Recreation Assistance Program Grant of $5000. I am awaiting </w:t>
      </w:r>
      <w:r>
        <w:rPr>
          <w:rFonts w:ascii="Verdana" w:hAnsi="Verdana"/>
        </w:rPr>
        <w:t xml:space="preserve">confirmation and </w:t>
      </w:r>
      <w:r w:rsidRPr="00D72C59">
        <w:rPr>
          <w:rFonts w:ascii="Verdana" w:hAnsi="Verdana"/>
        </w:rPr>
        <w:t>payment from GCC.</w:t>
      </w:r>
    </w:p>
    <w:p w14:paraId="7277D60C" w14:textId="1C2B40B1" w:rsidR="00D72C59" w:rsidRDefault="00D72C59" w:rsidP="00110BFD">
      <w:pPr>
        <w:pStyle w:val="ListParagraph"/>
        <w:numPr>
          <w:ilvl w:val="0"/>
          <w:numId w:val="9"/>
        </w:numPr>
        <w:rPr>
          <w:rFonts w:ascii="Verdana" w:hAnsi="Verdana"/>
        </w:rPr>
      </w:pPr>
      <w:r w:rsidRPr="00D72C59">
        <w:rPr>
          <w:rFonts w:ascii="Verdana" w:hAnsi="Verdana"/>
        </w:rPr>
        <w:t>I have made initial contact with a profe</w:t>
      </w:r>
      <w:r>
        <w:rPr>
          <w:rFonts w:ascii="Verdana" w:hAnsi="Verdana"/>
        </w:rPr>
        <w:t>ssional writer to discuss costs associated with a large grant. No costs have been put forward.</w:t>
      </w:r>
    </w:p>
    <w:p w14:paraId="186E9F5A" w14:textId="4814948E" w:rsidR="000D7D31" w:rsidRPr="00D72C59" w:rsidRDefault="000D7D31" w:rsidP="00110BFD">
      <w:pPr>
        <w:pStyle w:val="ListParagraph"/>
        <w:numPr>
          <w:ilvl w:val="0"/>
          <w:numId w:val="9"/>
        </w:numPr>
        <w:rPr>
          <w:rFonts w:ascii="Verdana" w:hAnsi="Verdana"/>
        </w:rPr>
      </w:pPr>
      <w:r>
        <w:rPr>
          <w:rFonts w:ascii="Verdana" w:hAnsi="Verdana"/>
        </w:rPr>
        <w:t>I wanted to submit a $5000 grant for the 2013 GCC RAP however will need to obtain an invoice and evidence of payment of the Design company’s work to provide plans for the top complex. Rob is to obtain this and the application process is set to be finalized by 14/3/2014.</w:t>
      </w:r>
    </w:p>
    <w:p w14:paraId="4B128A95" w14:textId="77777777" w:rsidR="00A41C90" w:rsidRDefault="00A41C90" w:rsidP="00110BFD">
      <w:pPr>
        <w:rPr>
          <w:rFonts w:ascii="Verdana" w:hAnsi="Verdana"/>
        </w:rPr>
      </w:pPr>
    </w:p>
    <w:p w14:paraId="438CE6C4" w14:textId="28B6E71B" w:rsidR="00A41C90" w:rsidRPr="00A41C90" w:rsidRDefault="00D72C59" w:rsidP="00110BFD">
      <w:pPr>
        <w:rPr>
          <w:rFonts w:ascii="Verdana" w:hAnsi="Verdana"/>
          <w:b/>
        </w:rPr>
      </w:pPr>
      <w:r>
        <w:rPr>
          <w:rFonts w:ascii="Verdana" w:hAnsi="Verdana"/>
          <w:b/>
        </w:rPr>
        <w:t xml:space="preserve">© </w:t>
      </w:r>
      <w:r w:rsidR="00A41C90" w:rsidRPr="00A41C90">
        <w:rPr>
          <w:rFonts w:ascii="Verdana" w:hAnsi="Verdana"/>
          <w:b/>
        </w:rPr>
        <w:t>Gosford Tennis School (License Holder)</w:t>
      </w:r>
    </w:p>
    <w:p w14:paraId="215B5E0F" w14:textId="77777777" w:rsidR="00A41C90" w:rsidRPr="00110BFD" w:rsidRDefault="00A41C90" w:rsidP="00110BFD">
      <w:pPr>
        <w:rPr>
          <w:rFonts w:ascii="Verdana" w:hAnsi="Verdana"/>
        </w:rPr>
      </w:pPr>
    </w:p>
    <w:p w14:paraId="62189440" w14:textId="3C2C0D47" w:rsidR="00A41C90" w:rsidRDefault="00D72C59" w:rsidP="00213065">
      <w:pPr>
        <w:pStyle w:val="ListParagraph"/>
        <w:numPr>
          <w:ilvl w:val="0"/>
          <w:numId w:val="1"/>
        </w:numPr>
        <w:rPr>
          <w:rFonts w:ascii="Verdana" w:hAnsi="Verdana"/>
        </w:rPr>
      </w:pPr>
      <w:r>
        <w:rPr>
          <w:rFonts w:ascii="Verdana" w:hAnsi="Verdana"/>
        </w:rPr>
        <w:t xml:space="preserve">GTC have asked for us to review the social court hire hourly fee subject to the license and that it be increased in line with CPI. I have asked Rod &amp; Jenny to outline the particular amounts before submitting formerly to the committee. </w:t>
      </w:r>
    </w:p>
    <w:p w14:paraId="27CB453D" w14:textId="07E3EFD7" w:rsidR="00D72C59" w:rsidRDefault="00D72C59" w:rsidP="00213065">
      <w:pPr>
        <w:pStyle w:val="ListParagraph"/>
        <w:numPr>
          <w:ilvl w:val="0"/>
          <w:numId w:val="1"/>
        </w:numPr>
        <w:rPr>
          <w:rFonts w:ascii="Verdana" w:hAnsi="Verdana"/>
        </w:rPr>
      </w:pPr>
      <w:r>
        <w:rPr>
          <w:rFonts w:ascii="Verdana" w:hAnsi="Verdana"/>
        </w:rPr>
        <w:t xml:space="preserve">The ADSL line of $11 is still being paid which is used to assist Lynne in managing the memberships. We need to determine if we wish to continue with this service…..does the Optus monthly account we pay cover </w:t>
      </w:r>
      <w:r w:rsidR="000D7D31">
        <w:rPr>
          <w:rFonts w:ascii="Verdana" w:hAnsi="Verdana"/>
        </w:rPr>
        <w:t>Wi-Fi</w:t>
      </w:r>
      <w:r>
        <w:rPr>
          <w:rFonts w:ascii="Verdana" w:hAnsi="Verdana"/>
        </w:rPr>
        <w:t>?</w:t>
      </w:r>
    </w:p>
    <w:p w14:paraId="41E23FAD" w14:textId="26E31964" w:rsidR="00D72C59" w:rsidRDefault="008A0AA8" w:rsidP="00213065">
      <w:pPr>
        <w:pStyle w:val="ListParagraph"/>
        <w:numPr>
          <w:ilvl w:val="0"/>
          <w:numId w:val="1"/>
        </w:numPr>
        <w:rPr>
          <w:rFonts w:ascii="Verdana" w:hAnsi="Verdana"/>
        </w:rPr>
      </w:pPr>
      <w:r>
        <w:rPr>
          <w:rFonts w:ascii="Verdana" w:hAnsi="Verdana"/>
        </w:rPr>
        <w:t>Security light invoices for the car park remains outstanding and I will follow up with Rod &amp; Jenny</w:t>
      </w:r>
    </w:p>
    <w:p w14:paraId="21864AFB" w14:textId="44B69FD3" w:rsidR="008A0AA8" w:rsidRDefault="008A0AA8" w:rsidP="00213065">
      <w:pPr>
        <w:pStyle w:val="ListParagraph"/>
        <w:numPr>
          <w:ilvl w:val="0"/>
          <w:numId w:val="1"/>
        </w:numPr>
        <w:rPr>
          <w:rFonts w:ascii="Verdana" w:hAnsi="Verdana"/>
        </w:rPr>
      </w:pPr>
      <w:r>
        <w:rPr>
          <w:rFonts w:ascii="Verdana" w:hAnsi="Verdana"/>
        </w:rPr>
        <w:t xml:space="preserve">In future I would like for us to determine what we will pay prior to the GJO tournament given that there is some issues around court hire fees being set at $2200 rather then $200 per day, and the collection fee issue </w:t>
      </w:r>
      <w:r w:rsidR="000D7D31">
        <w:rPr>
          <w:rFonts w:ascii="Verdana" w:hAnsi="Verdana"/>
        </w:rPr>
        <w:t>that</w:t>
      </w:r>
      <w:r>
        <w:rPr>
          <w:rFonts w:ascii="Verdana" w:hAnsi="Verdana"/>
        </w:rPr>
        <w:t xml:space="preserve"> has been rankling members for a number of years. Now that Active.com have taken over the payment processing system charging us 6% on payment of entry fee’s, there is a limited need for an additional 7.5% to be paid to GTC if we have these funds go directly into our bank account. Only hotshots and some small amounts relating to non-paid entry fees </w:t>
      </w:r>
      <w:r w:rsidR="000D7D31">
        <w:rPr>
          <w:rFonts w:ascii="Verdana" w:hAnsi="Verdana"/>
        </w:rPr>
        <w:t>would be charged the</w:t>
      </w:r>
      <w:r>
        <w:rPr>
          <w:rFonts w:ascii="Verdana" w:hAnsi="Verdana"/>
        </w:rPr>
        <w:t xml:space="preserve"> 7.5% </w:t>
      </w:r>
      <w:r w:rsidR="000D7D31">
        <w:rPr>
          <w:rFonts w:ascii="Verdana" w:hAnsi="Verdana"/>
        </w:rPr>
        <w:t xml:space="preserve">collection </w:t>
      </w:r>
      <w:r>
        <w:rPr>
          <w:rFonts w:ascii="Verdana" w:hAnsi="Verdana"/>
        </w:rPr>
        <w:t>fee.</w:t>
      </w:r>
    </w:p>
    <w:p w14:paraId="311DF29C" w14:textId="77777777" w:rsidR="008A0AA8" w:rsidRDefault="008A0AA8" w:rsidP="008A0AA8">
      <w:pPr>
        <w:rPr>
          <w:rFonts w:ascii="Verdana" w:hAnsi="Verdana"/>
        </w:rPr>
      </w:pPr>
    </w:p>
    <w:p w14:paraId="1D6446AA" w14:textId="782D9CEA" w:rsidR="008A0AA8" w:rsidRPr="008A0AA8" w:rsidRDefault="008A0AA8" w:rsidP="008A0AA8">
      <w:pPr>
        <w:rPr>
          <w:rFonts w:ascii="Verdana" w:hAnsi="Verdana"/>
          <w:b/>
        </w:rPr>
      </w:pPr>
      <w:r w:rsidRPr="008A0AA8">
        <w:rPr>
          <w:rFonts w:ascii="Verdana" w:hAnsi="Verdana"/>
          <w:b/>
        </w:rPr>
        <w:t>(d) Other Matters</w:t>
      </w:r>
    </w:p>
    <w:p w14:paraId="08E9B1AD" w14:textId="77777777" w:rsidR="008A0AA8" w:rsidRDefault="008A0AA8" w:rsidP="008A0AA8">
      <w:pPr>
        <w:rPr>
          <w:rFonts w:ascii="Verdana" w:hAnsi="Verdana"/>
        </w:rPr>
      </w:pPr>
    </w:p>
    <w:p w14:paraId="0851E649" w14:textId="4BFC2C51" w:rsidR="008A0AA8" w:rsidRDefault="008A0AA8" w:rsidP="008A0AA8">
      <w:pPr>
        <w:pStyle w:val="ListParagraph"/>
        <w:numPr>
          <w:ilvl w:val="0"/>
          <w:numId w:val="10"/>
        </w:numPr>
        <w:rPr>
          <w:rFonts w:ascii="Verdana" w:hAnsi="Verdana"/>
        </w:rPr>
      </w:pPr>
      <w:r>
        <w:rPr>
          <w:rFonts w:ascii="Verdana" w:hAnsi="Verdana"/>
        </w:rPr>
        <w:t>Payment to Rebecca and Max O’Farrell totaling $677 has yet to be paid as we need account numbers. Lynne can you assist here</w:t>
      </w:r>
    </w:p>
    <w:p w14:paraId="64F11B25" w14:textId="6C3AA985" w:rsidR="008A0AA8" w:rsidRDefault="008A0AA8" w:rsidP="008A0AA8">
      <w:pPr>
        <w:pStyle w:val="ListParagraph"/>
        <w:numPr>
          <w:ilvl w:val="0"/>
          <w:numId w:val="10"/>
        </w:numPr>
        <w:rPr>
          <w:rFonts w:ascii="Verdana" w:hAnsi="Verdana"/>
        </w:rPr>
      </w:pPr>
      <w:r>
        <w:rPr>
          <w:rFonts w:ascii="Verdana" w:hAnsi="Verdana"/>
        </w:rPr>
        <w:t>I ask the committee to endorse payment of the honorarium of $500 for both Rob and I as per the 2013 AGM approving the motion.</w:t>
      </w:r>
    </w:p>
    <w:p w14:paraId="16E2473C" w14:textId="1B441CB6" w:rsidR="008A0AA8" w:rsidRDefault="008A0AA8" w:rsidP="008A0AA8">
      <w:pPr>
        <w:pStyle w:val="ListParagraph"/>
        <w:numPr>
          <w:ilvl w:val="0"/>
          <w:numId w:val="10"/>
        </w:numPr>
        <w:rPr>
          <w:rFonts w:ascii="Verdana" w:hAnsi="Verdana"/>
        </w:rPr>
      </w:pPr>
      <w:r>
        <w:rPr>
          <w:rFonts w:ascii="Verdana" w:hAnsi="Verdana"/>
        </w:rPr>
        <w:t>A cost of approx. $1120 is pending to place 2 adverts in the CC Express to seek tenders for our new logo design and website. Rob wanted this pending until further agreement by the committee.</w:t>
      </w:r>
    </w:p>
    <w:p w14:paraId="0C8D0111" w14:textId="7FF86ECE" w:rsidR="000D7D31" w:rsidRPr="008A0AA8" w:rsidRDefault="000D7D31" w:rsidP="008A0AA8">
      <w:pPr>
        <w:pStyle w:val="ListParagraph"/>
        <w:numPr>
          <w:ilvl w:val="0"/>
          <w:numId w:val="10"/>
        </w:numPr>
        <w:rPr>
          <w:rFonts w:ascii="Verdana" w:hAnsi="Verdana"/>
        </w:rPr>
      </w:pPr>
      <w:r>
        <w:rPr>
          <w:rFonts w:ascii="Verdana" w:hAnsi="Verdana"/>
        </w:rPr>
        <w:t>Draft cash-flow forecasts for the 5 year strategic plan 2014 – 2018 has been submitted to the committee for their review and I will discuss further later in the meeting.</w:t>
      </w:r>
    </w:p>
    <w:p w14:paraId="3ABE4F02" w14:textId="77777777" w:rsidR="00213065" w:rsidRDefault="00213065" w:rsidP="00213065">
      <w:pPr>
        <w:rPr>
          <w:rFonts w:ascii="Verdana" w:hAnsi="Verdana"/>
        </w:rPr>
      </w:pPr>
    </w:p>
    <w:p w14:paraId="31E9DF1D" w14:textId="77777777" w:rsidR="00213065" w:rsidRDefault="00213065" w:rsidP="00213065">
      <w:pPr>
        <w:rPr>
          <w:rFonts w:ascii="Verdana" w:hAnsi="Verdana"/>
          <w:u w:val="single"/>
        </w:rPr>
      </w:pPr>
    </w:p>
    <w:p w14:paraId="742117C6" w14:textId="77777777" w:rsidR="00213065" w:rsidRDefault="00213065" w:rsidP="00213065">
      <w:pPr>
        <w:rPr>
          <w:rFonts w:ascii="Verdana" w:hAnsi="Verdana"/>
          <w:u w:val="single"/>
        </w:rPr>
      </w:pPr>
    </w:p>
    <w:p w14:paraId="349A08A2" w14:textId="77777777" w:rsidR="00213065" w:rsidRDefault="00213065" w:rsidP="00213065">
      <w:pPr>
        <w:rPr>
          <w:rFonts w:ascii="Verdana" w:hAnsi="Verdana"/>
          <w:u w:val="single"/>
        </w:rPr>
      </w:pPr>
    </w:p>
    <w:p w14:paraId="3AB4C3DD" w14:textId="6A386715" w:rsidR="00103106" w:rsidRPr="00A41C90" w:rsidRDefault="00103106" w:rsidP="00A41C90">
      <w:pPr>
        <w:rPr>
          <w:rFonts w:ascii="Verdana" w:hAnsi="Verdana"/>
        </w:rPr>
      </w:pPr>
    </w:p>
    <w:sectPr w:rsidR="00103106" w:rsidRPr="00A41C90" w:rsidSect="00DF4C0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61659" w14:textId="77777777" w:rsidR="000D7D31" w:rsidRDefault="000D7D31" w:rsidP="000D7D31">
      <w:r>
        <w:separator/>
      </w:r>
    </w:p>
  </w:endnote>
  <w:endnote w:type="continuationSeparator" w:id="0">
    <w:p w14:paraId="34071461" w14:textId="77777777" w:rsidR="000D7D31" w:rsidRDefault="000D7D31" w:rsidP="000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6FF4" w14:textId="77777777" w:rsidR="000D7D31" w:rsidRDefault="000D7D31" w:rsidP="001D7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88F2" w14:textId="77777777" w:rsidR="000D7D31" w:rsidRDefault="000D7D31" w:rsidP="000D7D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BEA3" w14:textId="77777777" w:rsidR="000D7D31" w:rsidRDefault="000D7D31" w:rsidP="001D7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5A5">
      <w:rPr>
        <w:rStyle w:val="PageNumber"/>
        <w:noProof/>
      </w:rPr>
      <w:t>1</w:t>
    </w:r>
    <w:r>
      <w:rPr>
        <w:rStyle w:val="PageNumber"/>
      </w:rPr>
      <w:fldChar w:fldCharType="end"/>
    </w:r>
  </w:p>
  <w:p w14:paraId="1C0D7C71" w14:textId="77777777" w:rsidR="000D7D31" w:rsidRDefault="000D7D31" w:rsidP="000D7D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3376" w14:textId="77777777" w:rsidR="000D7D31" w:rsidRDefault="000D7D31" w:rsidP="000D7D31">
      <w:r>
        <w:separator/>
      </w:r>
    </w:p>
  </w:footnote>
  <w:footnote w:type="continuationSeparator" w:id="0">
    <w:p w14:paraId="03FF0DAE" w14:textId="77777777" w:rsidR="000D7D31" w:rsidRDefault="000D7D31" w:rsidP="000D7D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FF9"/>
    <w:multiLevelType w:val="hybridMultilevel"/>
    <w:tmpl w:val="DCC0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76DA6"/>
    <w:multiLevelType w:val="hybridMultilevel"/>
    <w:tmpl w:val="E9C84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D85D22"/>
    <w:multiLevelType w:val="hybridMultilevel"/>
    <w:tmpl w:val="CD804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2434A8"/>
    <w:multiLevelType w:val="hybridMultilevel"/>
    <w:tmpl w:val="32E85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116A32"/>
    <w:multiLevelType w:val="hybridMultilevel"/>
    <w:tmpl w:val="7066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0A2176"/>
    <w:multiLevelType w:val="hybridMultilevel"/>
    <w:tmpl w:val="C36C7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FB0C70"/>
    <w:multiLevelType w:val="hybridMultilevel"/>
    <w:tmpl w:val="9524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60133C"/>
    <w:multiLevelType w:val="hybridMultilevel"/>
    <w:tmpl w:val="4984B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B855B7"/>
    <w:multiLevelType w:val="hybridMultilevel"/>
    <w:tmpl w:val="63E01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6134BC"/>
    <w:multiLevelType w:val="hybridMultilevel"/>
    <w:tmpl w:val="B10EEF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8"/>
  </w:num>
  <w:num w:numId="6">
    <w:abstractNumId w:val="4"/>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C9"/>
    <w:rsid w:val="000C5A37"/>
    <w:rsid w:val="000D7D31"/>
    <w:rsid w:val="000E7AF4"/>
    <w:rsid w:val="00103106"/>
    <w:rsid w:val="00110BFD"/>
    <w:rsid w:val="001D2CF1"/>
    <w:rsid w:val="00213065"/>
    <w:rsid w:val="00215BC9"/>
    <w:rsid w:val="002253E5"/>
    <w:rsid w:val="003865A5"/>
    <w:rsid w:val="004272A2"/>
    <w:rsid w:val="007D3AFC"/>
    <w:rsid w:val="008007D8"/>
    <w:rsid w:val="00816578"/>
    <w:rsid w:val="008A0AA8"/>
    <w:rsid w:val="00954BA4"/>
    <w:rsid w:val="009B0A0B"/>
    <w:rsid w:val="00A41C90"/>
    <w:rsid w:val="00AB10E5"/>
    <w:rsid w:val="00B4247F"/>
    <w:rsid w:val="00BC2BDD"/>
    <w:rsid w:val="00C4318E"/>
    <w:rsid w:val="00C91B26"/>
    <w:rsid w:val="00D72C59"/>
    <w:rsid w:val="00D83233"/>
    <w:rsid w:val="00DF4C06"/>
    <w:rsid w:val="00F060D5"/>
    <w:rsid w:val="00F477A8"/>
    <w:rsid w:val="00F95A57"/>
    <w:rsid w:val="00FA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BB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658</Words>
  <Characters>3753</Characters>
  <Application>Microsoft Macintosh Word</Application>
  <DocSecurity>0</DocSecurity>
  <Lines>31</Lines>
  <Paragraphs>8</Paragraphs>
  <ScaleCrop>false</ScaleCrop>
  <Company>AAP Financial Solutions</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 Pty Ltd Tant Pty Ltd atf Tant Family Trust tradi</dc:creator>
  <cp:keywords/>
  <dc:description/>
  <cp:lastModifiedBy>Tant Pty Ltd Tant Pty Ltd atf Tant Family Trust tradi</cp:lastModifiedBy>
  <cp:revision>4</cp:revision>
  <dcterms:created xsi:type="dcterms:W3CDTF">2014-02-28T09:30:00Z</dcterms:created>
  <dcterms:modified xsi:type="dcterms:W3CDTF">2014-03-03T11:14:00Z</dcterms:modified>
</cp:coreProperties>
</file>